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color w:val="13233F"/>
          <w:sz w:val="30"/>
          <w:szCs w:val="30"/>
        </w:rPr>
        <w:t xml:space="preserve">AUTUMN PRESTIGE GROUP LIMITED</w:t>
      </w:r>
    </w:p>
    <w:p>
      <w:pPr>
        <w:spacing w:after="40"/>
        <w:jc w:val="center"/>
      </w:pPr>
      <w:r>
        <w:rPr>
          <w:color w:val="5A5A5A"/>
          <w:sz w:val="24"/>
          <w:szCs w:val="24"/>
        </w:rPr>
        <w:t xml:space="preserve">Exceptional Car Care™ — Membership Agreement</w:t>
      </w:r>
    </w:p>
    <w:p>
      <w:pPr>
        <w:spacing w:after="300"/>
        <w:jc w:val="center"/>
      </w:pPr>
      <w:r>
        <w:rPr>
          <w:b/>
          <w:bCs/>
          <w:color w:val="9C7A3C"/>
          <w:sz w:val="26"/>
          <w:szCs w:val="26"/>
        </w:rPr>
        <w:t xml:space="preserve">PRIORITY TIER</w:t>
      </w:r>
    </w:p>
    <w:p>
      <w:pPr>
        <w:pStyle w:val="Heading1"/>
        <w:pBdr>
          <w:bottom w:val="single" w:color="9C7A3C" w:sz="6" w:space="4"/>
        </w:pBdr>
        <w:spacing w:after="140" w:before="320"/>
      </w:pPr>
      <w:r>
        <w:rPr>
          <w:b/>
          <w:bCs/>
          <w:color w:val="13233F"/>
          <w:sz w:val="24"/>
          <w:szCs w:val="24"/>
        </w:rPr>
        <w:t xml:space="preserve">1. Parties</w:t>
      </w:r>
    </w:p>
    <w:p>
      <w:pPr>
        <w:tabs>
          <w:tab w:val="left" w:pos="576"/>
        </w:tabs>
        <w:spacing w:after="120" w:line="276"/>
        <w:ind w:left="576" w:hanging="576"/>
      </w:pPr>
      <w:r>
        <w:rPr>
          <w:sz w:val="21"/>
          <w:szCs w:val="21"/>
        </w:rPr>
        <w:t xml:space="preserve">1.1	This Agreement is made between:</w:t>
      </w:r>
    </w:p>
    <w:p>
      <w:pPr>
        <w:spacing w:after="140" w:line="276"/>
      </w:pPr>
      <w:r>
        <w:rPr>
          <w:b/>
          <w:bCs/>
          <w:sz w:val="21"/>
          <w:szCs w:val="21"/>
        </w:rPr>
        <w:t xml:space="preserve">(1) Autumn Prestige Group Limited</w:t>
      </w:r>
      <w:r>
        <w:rPr>
          <w:sz w:val="21"/>
          <w:szCs w:val="21"/>
        </w:rPr>
        <w:t xml:space="preserve"> (“APG”, “the Company”, “we” or “us”), a company providing independent technical stewardship, advisory and coordination services for owners of prestige, performance, classic and collectible motor vehicles; and</w:t>
      </w:r>
    </w:p>
    <w:p>
      <w:pPr>
        <w:spacing w:after="140" w:line="276"/>
      </w:pPr>
      <w:r>
        <w:rPr>
          <w:b/>
          <w:bCs/>
          <w:sz w:val="21"/>
          <w:szCs w:val="21"/>
        </w:rPr>
        <w:t xml:space="preserve">(2) The Member</w:t>
      </w:r>
      <w:r>
        <w:rPr>
          <w:sz w:val="21"/>
          <w:szCs w:val="21"/>
        </w:rPr>
        <w:t xml:space="preserve"> named at Schedule 2 (“the Member”, “you”), being the individual or entity enrolling one or more vehicles into the Exceptional Car Care™ programme.</w:t>
      </w:r>
    </w:p>
    <w:p>
      <w:pPr>
        <w:spacing w:after="140" w:line="276"/>
      </w:pPr>
      <w:r>
        <w:rPr>
          <w:sz w:val="21"/>
          <w:szCs w:val="21"/>
        </w:rPr>
        <w:t xml:space="preserve">Together “the Parties”. This Agreement, together with its Schedules, sets out the terms on which APG will provide Exceptional Car Care™ services to the Member at the Priority tier.</w:t>
      </w:r>
    </w:p>
    <w:p>
      <w:pPr>
        <w:pStyle w:val="Heading1"/>
        <w:pBdr>
          <w:bottom w:val="single" w:color="9C7A3C" w:sz="6" w:space="4"/>
        </w:pBdr>
        <w:spacing w:after="140" w:before="320"/>
      </w:pPr>
      <w:r>
        <w:rPr>
          <w:b/>
          <w:bCs/>
          <w:color w:val="13233F"/>
          <w:sz w:val="24"/>
          <w:szCs w:val="24"/>
        </w:rPr>
        <w:t xml:space="preserve">2. Definitions and Interpretation</w:t>
      </w:r>
    </w:p>
    <w:p>
      <w:pPr>
        <w:spacing w:after="80" w:line="264"/>
        <w:ind w:left="431"/>
      </w:pPr>
      <w:r>
        <w:rPr>
          <w:sz w:val="21"/>
          <w:szCs w:val="21"/>
        </w:rPr>
        <w:t xml:space="preserve">•  “Membership” means the Member's enrolment in the Exceptional Car Care™ programme at the tier specified in this Agreement.</w:t>
      </w:r>
    </w:p>
    <w:p>
      <w:pPr>
        <w:spacing w:after="80" w:line="264"/>
        <w:ind w:left="431"/>
      </w:pPr>
      <w:r>
        <w:rPr>
          <w:sz w:val="21"/>
          <w:szCs w:val="21"/>
        </w:rPr>
        <w:t xml:space="preserve">•  “Vehicle” means each vehicle listed at Schedule 1 and enrolled in the Membership.</w:t>
      </w:r>
    </w:p>
    <w:p>
      <w:pPr>
        <w:spacing w:after="80" w:line="264"/>
        <w:ind w:left="431"/>
      </w:pPr>
      <w:r>
        <w:rPr>
          <w:sz w:val="21"/>
          <w:szCs w:val="21"/>
        </w:rPr>
        <w:t xml:space="preserve">•  “Fair Use Policy” means the policy set out at Clause 7 governing time-based, on-site elements of the Membership.</w:t>
      </w:r>
    </w:p>
    <w:p>
      <w:pPr>
        <w:spacing w:after="80" w:line="264"/>
        <w:ind w:left="431"/>
      </w:pPr>
      <w:r>
        <w:rPr>
          <w:sz w:val="21"/>
          <w:szCs w:val="21"/>
        </w:rPr>
        <w:t xml:space="preserve">•  “Partner” or “Partner Network” means the independent third-party workshops, dealers, specialists, logistics and transport providers, storage providers, detailing companies, insurance brokers, and other suppliers with which APG has arrangements from time to time.</w:t>
      </w:r>
    </w:p>
    <w:p>
      <w:pPr>
        <w:spacing w:after="80" w:line="264"/>
        <w:ind w:left="431"/>
      </w:pPr>
      <w:r>
        <w:rPr>
          <w:sz w:val="21"/>
          <w:szCs w:val="21"/>
        </w:rPr>
        <w:t xml:space="preserve">•  “Standard Rate” means APG's standard hourly rate for chargeable work, being £130.00 per hour as at the date of this Agreement, exclusive of parts and third-party costs.</w:t>
      </w:r>
    </w:p>
    <w:p>
      <w:pPr>
        <w:spacing w:after="80" w:line="264"/>
        <w:ind w:left="431"/>
      </w:pPr>
      <w:r>
        <w:rPr>
          <w:sz w:val="21"/>
          <w:szCs w:val="21"/>
        </w:rPr>
        <w:t xml:space="preserve">•  “Founding Member Rate” means the introductory monthly fee applicable to Members who join during APG's founding membership period, as set out at Schedule 2.</w:t>
      </w:r>
    </w:p>
    <w:p>
      <w:pPr>
        <w:spacing w:after="80" w:line="264"/>
        <w:ind w:left="431"/>
      </w:pPr>
      <w:r>
        <w:rPr>
          <w:sz w:val="21"/>
          <w:szCs w:val="21"/>
        </w:rPr>
        <w:t xml:space="preserve">•  “Business Day” means a day (other than a Saturday, Sunday or public holiday) on which banks are open for ordinary business in England and Wales.</w:t>
      </w:r>
    </w:p>
    <w:p>
      <w:pPr>
        <w:pStyle w:val="Heading1"/>
        <w:pBdr>
          <w:bottom w:val="single" w:color="9C7A3C" w:sz="6" w:space="4"/>
        </w:pBdr>
        <w:spacing w:after="140" w:before="320"/>
      </w:pPr>
      <w:r>
        <w:rPr>
          <w:b/>
          <w:bCs/>
          <w:color w:val="13233F"/>
          <w:sz w:val="24"/>
          <w:szCs w:val="24"/>
        </w:rPr>
        <w:t xml:space="preserve">3. Term, Renewal and Termination</w:t>
      </w:r>
    </w:p>
    <w:p>
      <w:pPr>
        <w:tabs>
          <w:tab w:val="left" w:pos="576"/>
        </w:tabs>
        <w:spacing w:after="120" w:line="276"/>
        <w:ind w:left="576" w:hanging="576"/>
      </w:pPr>
      <w:r>
        <w:rPr>
          <w:sz w:val="21"/>
          <w:szCs w:val="21"/>
        </w:rPr>
        <w:t xml:space="preserve">3.1	The Membership commences on the Commencement Date stated at Schedule 2 and operates on a rolling annual basis, automatically continuing from year to year unless terminated in accordance with this Clause 3 or cancelled under Clause 4.</w:t>
      </w:r>
    </w:p>
    <w:p>
      <w:pPr>
        <w:tabs>
          <w:tab w:val="left" w:pos="576"/>
        </w:tabs>
        <w:spacing w:after="120" w:line="276"/>
        <w:ind w:left="576" w:hanging="576"/>
      </w:pPr>
      <w:r>
        <w:rPr>
          <w:sz w:val="21"/>
          <w:szCs w:val="21"/>
        </w:rPr>
        <w:t xml:space="preserve">3.2	Either Party may terminate the Membership at any time by giving the other Party not less than three (3) months' prior written notice. The Membership, and the obligation to pay the Membership Fee, will continue until the expiry of the notice period.</w:t>
      </w:r>
    </w:p>
    <w:p>
      <w:pPr>
        <w:tabs>
          <w:tab w:val="left" w:pos="576"/>
        </w:tabs>
        <w:spacing w:after="120" w:line="276"/>
        <w:ind w:left="576" w:hanging="576"/>
      </w:pPr>
      <w:r>
        <w:rPr>
          <w:sz w:val="21"/>
          <w:szCs w:val="21"/>
        </w:rPr>
        <w:t xml:space="preserve">3.3	APG may suspend or terminate the Membership with immediate effect, by written notice, if the Member fails to pay any sum due under this Agreement within 14 days of it falling due, or commits a material breach of this Agreement which (if capable of remedy) is not remedied within 14 days of being asked to do so.</w:t>
      </w:r>
    </w:p>
    <w:p>
      <w:pPr>
        <w:tabs>
          <w:tab w:val="left" w:pos="576"/>
        </w:tabs>
        <w:spacing w:after="120" w:line="276"/>
        <w:ind w:left="576" w:hanging="576"/>
      </w:pPr>
      <w:r>
        <w:rPr>
          <w:sz w:val="21"/>
          <w:szCs w:val="21"/>
        </w:rPr>
        <w:t xml:space="preserve">3.4	On termination, the Member remains liable for all Fees and other charges accrued up to and including the end of the notice period, together with any sums properly due in respect of services already provided or committed on the Member's behalf (for example, work already commissioned with a Partner).</w:t>
      </w:r>
    </w:p>
    <w:p>
      <w:pPr>
        <w:pStyle w:val="Heading1"/>
        <w:pBdr>
          <w:bottom w:val="single" w:color="9C7A3C" w:sz="6" w:space="4"/>
        </w:pBdr>
        <w:spacing w:after="140" w:before="320"/>
      </w:pPr>
      <w:r>
        <w:rPr>
          <w:b/>
          <w:bCs/>
          <w:color w:val="13233F"/>
          <w:sz w:val="24"/>
          <w:szCs w:val="24"/>
        </w:rPr>
        <w:t xml:space="preserve">4. Right to Cancel (Cooling-Off Period)</w:t>
      </w:r>
    </w:p>
    <w:p>
      <w:pPr>
        <w:tabs>
          <w:tab w:val="left" w:pos="576"/>
        </w:tabs>
        <w:spacing w:after="120" w:line="276"/>
        <w:ind w:left="576" w:hanging="576"/>
      </w:pPr>
      <w:r>
        <w:rPr>
          <w:sz w:val="21"/>
          <w:szCs w:val="21"/>
        </w:rPr>
        <w:t xml:space="preserve">4.1	Where this Agreement is entered into at a distance or off-premises (for example, concluded online, by phone, or by post, rather than with both Parties physically present together), the Member may have a statutory right to cancel this Agreement within 14 days of the Commencement Date, without giving a reason, under the Consumer Contracts (Information, Cancellation and Additional Charges) Regulations 2013.</w:t>
      </w:r>
    </w:p>
    <w:p>
      <w:pPr>
        <w:tabs>
          <w:tab w:val="left" w:pos="576"/>
        </w:tabs>
        <w:spacing w:after="120" w:line="276"/>
        <w:ind w:left="576" w:hanging="576"/>
      </w:pPr>
      <w:r>
        <w:rPr>
          <w:sz w:val="21"/>
          <w:szCs w:val="21"/>
        </w:rPr>
        <w:t xml:space="preserve">4.2	To cancel during this period, the Member should tell APG clearly in writing (for example, by letter or email to the contact details provided at enrolment).</w:t>
      </w:r>
    </w:p>
    <w:p>
      <w:pPr>
        <w:tabs>
          <w:tab w:val="left" w:pos="576"/>
        </w:tabs>
        <w:spacing w:after="120" w:line="276"/>
        <w:ind w:left="576" w:hanging="576"/>
      </w:pPr>
      <w:r>
        <w:rPr>
          <w:sz w:val="21"/>
          <w:szCs w:val="21"/>
        </w:rPr>
        <w:t xml:space="preserve">4.3	If the Member expressly asks APG to begin providing services during the 14-day period and then cancels, the Member will owe a reasonable amount for the services provided up to the point of cancellation, calculated pro-rata against the Membership Fee, rather than owing nothing at all.</w:t>
      </w:r>
    </w:p>
    <w:p>
      <w:pPr>
        <w:tabs>
          <w:tab w:val="left" w:pos="576"/>
        </w:tabs>
        <w:spacing w:after="120" w:line="276"/>
        <w:ind w:left="576" w:hanging="576"/>
      </w:pPr>
      <w:r>
        <w:rPr>
          <w:sz w:val="21"/>
          <w:szCs w:val="21"/>
        </w:rPr>
        <w:t xml:space="preserve">4.4	Once the 14-day period has passed without cancellation, or once the Member has expressly requested early performance and APG has fully performed the services covered by that request, this Clause no longer applies and termination is instead governed by Clause 3.</w:t>
      </w:r>
    </w:p>
    <w:p>
      <w:pPr>
        <w:tabs>
          <w:tab w:val="left" w:pos="576"/>
        </w:tabs>
        <w:spacing w:after="120" w:line="276"/>
        <w:ind w:left="576" w:hanging="576"/>
      </w:pPr>
      <w:r>
        <w:rPr>
          <w:sz w:val="21"/>
          <w:szCs w:val="21"/>
        </w:rPr>
        <w:t xml:space="preserve">4.5	This Clause does not affect the Member's other statutory rights, including under the Consumer Rights Act 2015.</w:t>
      </w:r>
    </w:p>
    <w:p>
      <w:pPr>
        <w:pStyle w:val="Heading1"/>
        <w:pBdr>
          <w:bottom w:val="single" w:color="9C7A3C" w:sz="6" w:space="4"/>
        </w:pBdr>
        <w:spacing w:after="140" w:before="320"/>
      </w:pPr>
      <w:r>
        <w:rPr>
          <w:b/>
          <w:bCs/>
          <w:color w:val="13233F"/>
          <w:sz w:val="24"/>
          <w:szCs w:val="24"/>
        </w:rPr>
        <w:t xml:space="preserve">5. Membership Fees</w:t>
      </w:r>
    </w:p>
    <w:p>
      <w:pPr>
        <w:tabs>
          <w:tab w:val="left" w:pos="576"/>
        </w:tabs>
        <w:spacing w:after="120" w:line="276"/>
        <w:ind w:left="576" w:hanging="576"/>
      </w:pPr>
      <w:r>
        <w:rPr>
          <w:sz w:val="21"/>
          <w:szCs w:val="21"/>
        </w:rPr>
        <w:t xml:space="preserve">5.1	The Member shall pay APG the Membership Fee shown at Schedule 2 for each Vehicle enrolled, monthly in advance, by Direct Debit collected through Stripe or Revolut (or such other payment processor as APG may notify to the Member from time to time). The Member must maintain valid, current payment details with APG's payment processor at all times.</w:t>
      </w:r>
    </w:p>
    <w:p>
      <w:pPr>
        <w:tabs>
          <w:tab w:val="left" w:pos="576"/>
        </w:tabs>
        <w:spacing w:after="120" w:line="276"/>
        <w:ind w:left="576" w:hanging="576"/>
      </w:pPr>
      <w:r>
        <w:rPr>
          <w:sz w:val="21"/>
          <w:szCs w:val="21"/>
        </w:rPr>
        <w:t xml:space="preserve">5.2	The Founding Member Rate is offered to early Members of the Exceptional Car Care™ programme. APG will give the Member not less than 60 days' written notice of any change to the Membership Fee, which will not take effect earlier than the next anniversary of the Commencement Date.</w:t>
      </w:r>
    </w:p>
    <w:p>
      <w:pPr>
        <w:tabs>
          <w:tab w:val="left" w:pos="576"/>
        </w:tabs>
        <w:spacing w:after="120" w:line="276"/>
        <w:ind w:left="576" w:hanging="576"/>
      </w:pPr>
      <w:r>
        <w:rPr>
          <w:sz w:val="21"/>
          <w:szCs w:val="21"/>
        </w:rPr>
        <w:t xml:space="preserve">5.3	Fees stated in this Agreement do not include VAT. APG is not currently VAT-registered; should this position change, APG will notify the Member and VAT will be added in accordance with applicable law from the effective date of registration.</w:t>
      </w:r>
    </w:p>
    <w:p>
      <w:pPr>
        <w:tabs>
          <w:tab w:val="left" w:pos="576"/>
        </w:tabs>
        <w:spacing w:after="120" w:line="276"/>
        <w:ind w:left="576" w:hanging="576"/>
      </w:pPr>
      <w:r>
        <w:rPr>
          <w:sz w:val="21"/>
          <w:szCs w:val="21"/>
        </w:rPr>
        <w:t xml:space="preserve">5.4	Where the Member enrols more than one Vehicle, the first Vehicle is charged at the full Membership Fee and each additional Vehicle enrolled receives a 20% discount on the Membership Fee for that Vehicle. The applicable fees for each Vehicle are recorded at Schedule 2.</w:t>
      </w:r>
    </w:p>
    <w:p>
      <w:pPr>
        <w:pStyle w:val="Heading1"/>
        <w:pBdr>
          <w:bottom w:val="single" w:color="9C7A3C" w:sz="6" w:space="4"/>
        </w:pBdr>
        <w:spacing w:after="140" w:before="320"/>
      </w:pPr>
      <w:r>
        <w:rPr>
          <w:b/>
          <w:bCs/>
          <w:color w:val="13233F"/>
          <w:sz w:val="24"/>
          <w:szCs w:val="24"/>
        </w:rPr>
        <w:t xml:space="preserve">6. Services Included</w:t>
      </w:r>
    </w:p>
    <w:p>
      <w:pPr>
        <w:spacing w:after="140" w:line="276"/>
      </w:pPr>
      <w:r>
        <w:rPr>
          <w:sz w:val="21"/>
          <w:szCs w:val="21"/>
        </w:rPr>
        <w:t xml:space="preserve">The following services are included within the Priority tier Membership Fee, subject to the remaining terms of this Agreement (including the Fair Use Policy at Clause 7, where applicable):</w:t>
      </w:r>
    </w:p>
    <w:p>
      <w:pPr>
        <w:spacing w:after="80" w:line="264"/>
        <w:ind w:left="431"/>
      </w:pPr>
      <w:r>
        <w:rPr>
          <w:sz w:val="21"/>
          <w:szCs w:val="21"/>
        </w:rPr>
        <w:t xml:space="preserve">•  All Essential tier benefits, as set out above</w:t>
      </w:r>
    </w:p>
    <w:p>
      <w:pPr>
        <w:spacing w:after="80" w:line="264"/>
        <w:ind w:left="431"/>
      </w:pPr>
      <w:r>
        <w:rPr>
          <w:sz w:val="21"/>
          <w:szCs w:val="21"/>
        </w:rPr>
        <w:t xml:space="preserve">•  Priority communications and response times</w:t>
      </w:r>
    </w:p>
    <w:p>
      <w:pPr>
        <w:spacing w:after="80" w:line="264"/>
        <w:ind w:left="431"/>
      </w:pPr>
      <w:r>
        <w:rPr>
          <w:sz w:val="21"/>
          <w:szCs w:val="21"/>
        </w:rPr>
        <w:t xml:space="preserve">•  Garage and transport liaison on the Member's behalf</w:t>
      </w:r>
    </w:p>
    <w:p>
      <w:pPr>
        <w:spacing w:after="80" w:line="264"/>
        <w:ind w:left="431"/>
      </w:pPr>
      <w:r>
        <w:rPr>
          <w:sz w:val="21"/>
          <w:szCs w:val="21"/>
        </w:rPr>
        <w:t xml:space="preserve">•  On-site technical support, where required, subject to the Fair Use Policy below</w:t>
      </w:r>
    </w:p>
    <w:p>
      <w:pPr>
        <w:spacing w:after="80" w:line="264"/>
        <w:ind w:left="431"/>
      </w:pPr>
      <w:r>
        <w:rPr>
          <w:sz w:val="21"/>
          <w:szCs w:val="21"/>
        </w:rPr>
        <w:t xml:space="preserve">•  Diagnostics and minor repairs, subject to the Fair Use Policy below</w:t>
      </w:r>
    </w:p>
    <w:p>
      <w:pPr>
        <w:spacing w:after="80" w:line="264"/>
        <w:ind w:left="431"/>
      </w:pPr>
      <w:r>
        <w:rPr>
          <w:sz w:val="21"/>
          <w:szCs w:val="21"/>
        </w:rPr>
        <w:t xml:space="preserve">•  Preferential labour rates with APG's partner network</w:t>
      </w:r>
    </w:p>
    <w:p>
      <w:pPr>
        <w:spacing w:after="80" w:line="264"/>
        <w:ind w:left="431"/>
      </w:pPr>
      <w:r>
        <w:rPr>
          <w:sz w:val="21"/>
          <w:szCs w:val="21"/>
        </w:rPr>
        <w:t xml:space="preserve">•  Multi-vehicle discounts where more than one vehicle is enrolled</w:t>
      </w:r>
    </w:p>
    <w:p>
      <w:pPr>
        <w:spacing w:after="140" w:line="276"/>
      </w:pPr>
      <w:r>
        <w:rPr>
          <w:sz w:val="21"/>
          <w:szCs w:val="21"/>
        </w:rPr>
        <w:t xml:space="preserve">Items marked above by reference to a later section may attract additional charges in the circumstances described in that section. APG will always aim to be clear about likely costs before committing the Member to chargeable work, save where the Fair Use Policy at Clause 7 applies.</w:t>
      </w:r>
    </w:p>
    <w:p>
      <w:pPr>
        <w:pStyle w:val="Heading1"/>
        <w:pBdr>
          <w:bottom w:val="single" w:color="9C7A3C" w:sz="6" w:space="4"/>
        </w:pBdr>
        <w:spacing w:after="140" w:before="320"/>
      </w:pPr>
      <w:r>
        <w:rPr>
          <w:b/>
          <w:bCs/>
          <w:color w:val="13233F"/>
          <w:sz w:val="24"/>
          <w:szCs w:val="24"/>
        </w:rPr>
        <w:t xml:space="preserve">7. Fair Use Policy — On-Site Attendance</w:t>
      </w:r>
    </w:p>
    <w:p>
      <w:pPr>
        <w:tabs>
          <w:tab w:val="left" w:pos="576"/>
        </w:tabs>
        <w:spacing w:after="120" w:line="276"/>
        <w:ind w:left="576" w:hanging="576"/>
      </w:pPr>
      <w:r>
        <w:rPr>
          <w:sz w:val="21"/>
          <w:szCs w:val="21"/>
        </w:rPr>
        <w:t xml:space="preserve">7.1	On-site technical support and attendance forms part of the Membership on a fair use basis. As a guide, APG allows for approximately six (6) hours of on-site attendance per Vehicle, per membership year, within the Membership Fee.</w:t>
      </w:r>
    </w:p>
    <w:p>
      <w:pPr>
        <w:tabs>
          <w:tab w:val="left" w:pos="576"/>
        </w:tabs>
        <w:spacing w:after="120" w:line="276"/>
        <w:ind w:left="576" w:hanging="576"/>
      </w:pPr>
      <w:r>
        <w:rPr>
          <w:sz w:val="21"/>
          <w:szCs w:val="21"/>
        </w:rPr>
        <w:t xml:space="preserve">7.2	This is a background operating guideline, not a metered allowance. APG will not track attendance to the minute, interrupt attendance on-site to notify the Member that an allowance has been reached, or decline to complete a job already underway on fair use grounds. APG records attendance internally, to the nearest hour, for its own reference and to inform future renewals and pricing.</w:t>
      </w:r>
    </w:p>
    <w:p>
      <w:pPr>
        <w:tabs>
          <w:tab w:val="left" w:pos="576"/>
        </w:tabs>
        <w:spacing w:after="120" w:line="276"/>
        <w:ind w:left="576" w:hanging="576"/>
      </w:pPr>
      <w:r>
        <w:rPr>
          <w:sz w:val="21"/>
          <w:szCs w:val="21"/>
        </w:rPr>
        <w:t xml:space="preserve">7.3	Where attendance on a Vehicle in a membership year clearly and materially exceeds the fair use guideline in Clause 7.1, APG will discuss this with the Member and the excess time will be chargeable at the Standard Rate. APG will exercise reasonable judgement in applying this Clause and will not charge for occasional, modest overages.</w:t>
      </w:r>
    </w:p>
    <w:p>
      <w:pPr>
        <w:tabs>
          <w:tab w:val="left" w:pos="576"/>
        </w:tabs>
        <w:spacing w:after="120" w:line="276"/>
        <w:ind w:left="576" w:hanging="576"/>
      </w:pPr>
      <w:r>
        <w:rPr>
          <w:sz w:val="21"/>
          <w:szCs w:val="21"/>
        </w:rPr>
        <w:t xml:space="preserve">7.4	The Fair Use Policy applies to on-site attendance only. It does not apply to remote technical advice and triage, which is provided without a fair use limit as part of the Membership.</w:t>
      </w:r>
    </w:p>
    <w:p>
      <w:pPr>
        <w:pStyle w:val="Heading1"/>
        <w:pBdr>
          <w:bottom w:val="single" w:color="9C7A3C" w:sz="6" w:space="4"/>
        </w:pBdr>
        <w:spacing w:after="140" w:before="320"/>
      </w:pPr>
      <w:r>
        <w:rPr>
          <w:b/>
          <w:bCs/>
          <w:color w:val="13233F"/>
          <w:sz w:val="24"/>
          <w:szCs w:val="24"/>
        </w:rPr>
        <w:t xml:space="preserve">8. Additional and Chargeable Services</w:t>
      </w:r>
    </w:p>
    <w:p>
      <w:pPr>
        <w:tabs>
          <w:tab w:val="left" w:pos="576"/>
        </w:tabs>
        <w:spacing w:after="120" w:line="276"/>
        <w:ind w:left="576" w:hanging="576"/>
      </w:pPr>
      <w:r>
        <w:rPr>
          <w:sz w:val="21"/>
          <w:szCs w:val="21"/>
        </w:rPr>
        <w:t xml:space="preserve">8.1	Parts, fluids, consumables and any third-party costs incurred in the course of maintenance, diagnostics or repair work are not included in the Membership Fee and are charged separately, at cost or at the Partner's standard rate, as applicable.</w:t>
      </w:r>
    </w:p>
    <w:p>
      <w:pPr>
        <w:tabs>
          <w:tab w:val="left" w:pos="576"/>
        </w:tabs>
        <w:spacing w:after="120" w:line="276"/>
        <w:ind w:left="576" w:hanging="576"/>
      </w:pPr>
      <w:r>
        <w:rPr>
          <w:sz w:val="21"/>
          <w:szCs w:val="21"/>
        </w:rPr>
        <w:t xml:space="preserve">8.2	Diagnostics and minor repairs are included within the Fair Use Policy at Clause 7. Work which APG reasonably determines falls outside “minor repairs” (for example, major mechanical, electrical or bodywork repairs) will be quoted separately in advance, whether carried out by APG or coordinated through the Partner Network.</w:t>
      </w:r>
    </w:p>
    <w:p>
      <w:pPr>
        <w:tabs>
          <w:tab w:val="left" w:pos="576"/>
        </w:tabs>
        <w:spacing w:after="120" w:line="276"/>
        <w:ind w:left="576" w:hanging="576"/>
      </w:pPr>
      <w:r>
        <w:rPr>
          <w:sz w:val="21"/>
          <w:szCs w:val="21"/>
        </w:rPr>
        <w:t xml:space="preserve">8.3	Any work not expressly included within the Member's tier under Clause 6 will be quoted and agreed with the Member in advance wherever practicable, and charged at the Standard Rate unless otherwise agreed.</w:t>
      </w:r>
    </w:p>
    <w:p>
      <w:pPr>
        <w:pStyle w:val="Heading1"/>
        <w:pBdr>
          <w:bottom w:val="single" w:color="9C7A3C" w:sz="6" w:space="4"/>
        </w:pBdr>
        <w:spacing w:after="140" w:before="320"/>
      </w:pPr>
      <w:r>
        <w:rPr>
          <w:b/>
          <w:bCs/>
          <w:color w:val="13233F"/>
          <w:sz w:val="24"/>
          <w:szCs w:val="24"/>
        </w:rPr>
        <w:t xml:space="preserve">9. The Role of Autumn Prestige Group</w:t>
      </w:r>
    </w:p>
    <w:p>
      <w:pPr>
        <w:tabs>
          <w:tab w:val="left" w:pos="576"/>
        </w:tabs>
        <w:spacing w:after="120" w:line="276"/>
        <w:ind w:left="576" w:hanging="576"/>
      </w:pPr>
      <w:r>
        <w:rPr>
          <w:sz w:val="21"/>
          <w:szCs w:val="21"/>
        </w:rPr>
        <w:t xml:space="preserve">9.1	APG acts as an independent technical adviser and representative of the Member. APG is not a dealer, manufacturer, workshop or insurer, and does not itself carry out mechanical repairs (save where expressly agreed). APG may receive a referral fee or commission from certain Partners in connection with introductions made to the Member; where this is the case, APG will disclose this to the Member on request and will not allow any such arrangement to compromise the independence of its advice.</w:t>
      </w:r>
    </w:p>
    <w:p>
      <w:pPr>
        <w:tabs>
          <w:tab w:val="left" w:pos="576"/>
        </w:tabs>
        <w:spacing w:after="120" w:line="276"/>
        <w:ind w:left="576" w:hanging="576"/>
      </w:pPr>
      <w:r>
        <w:rPr>
          <w:sz w:val="21"/>
          <w:szCs w:val="21"/>
        </w:rPr>
        <w:t xml:space="preserve">9.2	Where APG coordinates work with a Partner, APG will use reasonable skill and care in selecting and instructing that Partner and in overseeing the work on the Member's behalf. The contract for the underlying repair, service or supply is between the Member and the Partner, and the Partner (not APG) is responsible for the quality of its own work, subject to Clause 11.</w:t>
      </w:r>
    </w:p>
    <w:p>
      <w:pPr>
        <w:tabs>
          <w:tab w:val="left" w:pos="576"/>
        </w:tabs>
        <w:spacing w:after="120" w:line="276"/>
        <w:ind w:left="576" w:hanging="576"/>
      </w:pPr>
      <w:r>
        <w:rPr>
          <w:sz w:val="21"/>
          <w:szCs w:val="21"/>
        </w:rPr>
        <w:t xml:space="preserve">9.3	The Partner Network may include, without limitation, vehicle storage providers, detailing companies, insurance brokers and other specialist suppliers introduced by APG. In each case, APG's role is limited to introduction and coordination; the contract for the underlying storage, detailing, insurance or other service is between the Member and the relevant Partner, and APG accepts no liability for that Partner's workmanship, service standards, advice or conduct, subject to Clause 11.</w:t>
      </w:r>
    </w:p>
    <w:p>
      <w:pPr>
        <w:tabs>
          <w:tab w:val="left" w:pos="576"/>
        </w:tabs>
        <w:spacing w:after="120" w:line="276"/>
        <w:ind w:left="576" w:hanging="576"/>
      </w:pPr>
      <w:r>
        <w:rPr>
          <w:sz w:val="21"/>
          <w:szCs w:val="21"/>
        </w:rPr>
        <w:t xml:space="preserve">9.4	Where APG introduces the Member to an insurance broker, APG does not itself provide insurance advice or mediation and is not authorised or regulated by the Financial Conduct Authority to do so. Any insurance arrangements are made directly between the Member and the broker (or insurer) on the broker's own terms, and the Member should rely only on the broker's own advice and documentation.</w:t>
      </w:r>
    </w:p>
    <w:p>
      <w:pPr>
        <w:pStyle w:val="Heading1"/>
        <w:pBdr>
          <w:bottom w:val="single" w:color="9C7A3C" w:sz="6" w:space="4"/>
        </w:pBdr>
        <w:spacing w:after="140" w:before="320"/>
      </w:pPr>
      <w:r>
        <w:rPr>
          <w:b/>
          <w:bCs/>
          <w:color w:val="13233F"/>
          <w:sz w:val="24"/>
          <w:szCs w:val="24"/>
        </w:rPr>
        <w:t xml:space="preserve">10. Member Responsibilities</w:t>
      </w:r>
    </w:p>
    <w:p>
      <w:pPr>
        <w:tabs>
          <w:tab w:val="left" w:pos="576"/>
        </w:tabs>
        <w:spacing w:after="120" w:line="276"/>
        <w:ind w:left="576" w:hanging="576"/>
      </w:pPr>
      <w:r>
        <w:rPr>
          <w:sz w:val="21"/>
          <w:szCs w:val="21"/>
        </w:rPr>
        <w:t xml:space="preserve">10.1	The Member is responsible for ensuring each Vehicle is validly insured, taxed and (where applicable) holds a current MOT certificate, and for providing APG with accurate and up-to-date information about each Vehicle.</w:t>
      </w:r>
    </w:p>
    <w:p>
      <w:pPr>
        <w:tabs>
          <w:tab w:val="left" w:pos="576"/>
        </w:tabs>
        <w:spacing w:after="120" w:line="276"/>
        <w:ind w:left="576" w:hanging="576"/>
      </w:pPr>
      <w:r>
        <w:rPr>
          <w:sz w:val="21"/>
          <w:szCs w:val="21"/>
        </w:rPr>
        <w:t xml:space="preserve">10.2	The Member remains responsible for decisions concerning their Vehicle; APG's role is to advise and represent, and the Member retains the final decision on any work recommended.</w:t>
      </w:r>
    </w:p>
    <w:p>
      <w:pPr>
        <w:pStyle w:val="Heading1"/>
        <w:pBdr>
          <w:bottom w:val="single" w:color="9C7A3C" w:sz="6" w:space="4"/>
        </w:pBdr>
        <w:spacing w:after="140" w:before="320"/>
      </w:pPr>
      <w:r>
        <w:rPr>
          <w:b/>
          <w:bCs/>
          <w:color w:val="13233F"/>
          <w:sz w:val="24"/>
          <w:szCs w:val="24"/>
        </w:rPr>
        <w:t xml:space="preserve">11. Limitation of Liability</w:t>
      </w:r>
    </w:p>
    <w:p>
      <w:pPr>
        <w:tabs>
          <w:tab w:val="left" w:pos="576"/>
        </w:tabs>
        <w:spacing w:after="120" w:line="276"/>
        <w:ind w:left="576" w:hanging="576"/>
      </w:pPr>
      <w:r>
        <w:rPr>
          <w:sz w:val="21"/>
          <w:szCs w:val="21"/>
        </w:rPr>
        <w:t xml:space="preserve">11.1	Nothing in this Agreement limits or excludes APG's liability for death or personal injury caused by its negligence, for fraud or fraudulent misrepresentation, or for any other liability which cannot lawfully be limited or excluded.</w:t>
      </w:r>
    </w:p>
    <w:p>
      <w:pPr>
        <w:tabs>
          <w:tab w:val="left" w:pos="576"/>
        </w:tabs>
        <w:spacing w:after="120" w:line="276"/>
        <w:ind w:left="576" w:hanging="576"/>
      </w:pPr>
      <w:r>
        <w:rPr>
          <w:sz w:val="21"/>
          <w:szCs w:val="21"/>
        </w:rPr>
        <w:t xml:space="preserve">11.2	Subject to Clause 11.1, APG's total liability to the Member arising out of or in connection with this Agreement in any membership year shall not exceed the total Membership Fees paid by the Member in that year, and APG shall not be liable for indirect or consequential loss.</w:t>
      </w:r>
    </w:p>
    <w:p>
      <w:pPr>
        <w:tabs>
          <w:tab w:val="left" w:pos="576"/>
        </w:tabs>
        <w:spacing w:after="120" w:line="276"/>
        <w:ind w:left="576" w:hanging="576"/>
      </w:pPr>
      <w:r>
        <w:rPr>
          <w:sz w:val="21"/>
          <w:szCs w:val="21"/>
        </w:rPr>
        <w:t xml:space="preserve">11.3	Subject to Clause 11.1, APG is not liable for the acts, omissions, workmanship or advice of any Partner or other third party engaged to carry out work on a Vehicle, save to the extent any loss arises from APG's own negligence in selecting or instructing that Partner.</w:t>
      </w:r>
    </w:p>
    <w:p>
      <w:pPr>
        <w:tabs>
          <w:tab w:val="left" w:pos="576"/>
        </w:tabs>
        <w:spacing w:after="120" w:line="276"/>
        <w:ind w:left="576" w:hanging="576"/>
      </w:pPr>
      <w:r>
        <w:rPr>
          <w:sz w:val="21"/>
          <w:szCs w:val="21"/>
        </w:rPr>
        <w:t xml:space="preserve">11.4	Nothing in this Agreement affects the Member's statutory rights as a consumer, including under the Consumer Rights Act 2015.</w:t>
      </w:r>
    </w:p>
    <w:p>
      <w:pPr>
        <w:pStyle w:val="Heading1"/>
        <w:pBdr>
          <w:bottom w:val="single" w:color="9C7A3C" w:sz="6" w:space="4"/>
        </w:pBdr>
        <w:spacing w:after="140" w:before="320"/>
      </w:pPr>
      <w:r>
        <w:rPr>
          <w:b/>
          <w:bCs/>
          <w:color w:val="13233F"/>
          <w:sz w:val="24"/>
          <w:szCs w:val="24"/>
        </w:rPr>
        <w:t xml:space="preserve">12. Data Protection</w:t>
      </w:r>
    </w:p>
    <w:p>
      <w:pPr>
        <w:tabs>
          <w:tab w:val="left" w:pos="576"/>
        </w:tabs>
        <w:spacing w:after="120" w:line="276"/>
        <w:ind w:left="576" w:hanging="576"/>
      </w:pPr>
      <w:r>
        <w:rPr>
          <w:sz w:val="21"/>
          <w:szCs w:val="21"/>
        </w:rPr>
        <w:t xml:space="preserve">12.1	Each Party will comply with its obligations under the UK GDPR and the Data Protection Act 2018 in respect of any personal data shared under this Agreement. APG's privacy notice, available on request, sets out how it handles the Member's personal data.</w:t>
      </w:r>
    </w:p>
    <w:p>
      <w:pPr>
        <w:pStyle w:val="Heading1"/>
        <w:pBdr>
          <w:bottom w:val="single" w:color="9C7A3C" w:sz="6" w:space="4"/>
        </w:pBdr>
        <w:spacing w:after="140" w:before="320"/>
      </w:pPr>
      <w:r>
        <w:rPr>
          <w:b/>
          <w:bCs/>
          <w:color w:val="13233F"/>
          <w:sz w:val="24"/>
          <w:szCs w:val="24"/>
        </w:rPr>
        <w:t xml:space="preserve">13. Complaints</w:t>
      </w:r>
    </w:p>
    <w:p>
      <w:pPr>
        <w:tabs>
          <w:tab w:val="left" w:pos="576"/>
        </w:tabs>
        <w:spacing w:after="120" w:line="276"/>
        <w:ind w:left="576" w:hanging="576"/>
      </w:pPr>
      <w:r>
        <w:rPr>
          <w:sz w:val="21"/>
          <w:szCs w:val="21"/>
        </w:rPr>
        <w:t xml:space="preserve">13.1	If the Member is unhappy with any aspect of the Membership or the service provided, the Member should raise this with APG in the first instance using the contact details provided to the Member at enrolment.</w:t>
      </w:r>
    </w:p>
    <w:p>
      <w:pPr>
        <w:tabs>
          <w:tab w:val="left" w:pos="576"/>
        </w:tabs>
        <w:spacing w:after="120" w:line="276"/>
        <w:ind w:left="576" w:hanging="576"/>
      </w:pPr>
      <w:r>
        <w:rPr>
          <w:sz w:val="21"/>
          <w:szCs w:val="21"/>
        </w:rPr>
        <w:t xml:space="preserve">13.2	APG will acknowledge complaints within 5 Business Days and will aim to resolve them as quickly as reasonably possible. This Clause does not affect the Member's right to raise a complaint with any other relevant regulator or body, or the Member's statutory rights.</w:t>
      </w:r>
    </w:p>
    <w:p>
      <w:pPr>
        <w:pStyle w:val="Heading1"/>
        <w:pBdr>
          <w:bottom w:val="single" w:color="9C7A3C" w:sz="6" w:space="4"/>
        </w:pBdr>
        <w:spacing w:after="140" w:before="320"/>
      </w:pPr>
      <w:r>
        <w:rPr>
          <w:b/>
          <w:bCs/>
          <w:color w:val="13233F"/>
          <w:sz w:val="24"/>
          <w:szCs w:val="24"/>
        </w:rPr>
        <w:t xml:space="preserve">14. General</w:t>
      </w:r>
    </w:p>
    <w:p>
      <w:pPr>
        <w:tabs>
          <w:tab w:val="left" w:pos="576"/>
        </w:tabs>
        <w:spacing w:after="120" w:line="276"/>
        <w:ind w:left="576" w:hanging="576"/>
      </w:pPr>
      <w:r>
        <w:rPr>
          <w:sz w:val="21"/>
          <w:szCs w:val="21"/>
        </w:rPr>
        <w:t xml:space="preserve">14.1	This Agreement, together with its Schedules, constitutes the entire agreement between the Parties in relation to the Membership and supersedes any prior discussions or representations.</w:t>
      </w:r>
    </w:p>
    <w:p>
      <w:pPr>
        <w:tabs>
          <w:tab w:val="left" w:pos="576"/>
        </w:tabs>
        <w:spacing w:after="120" w:line="276"/>
        <w:ind w:left="576" w:hanging="576"/>
      </w:pPr>
      <w:r>
        <w:rPr>
          <w:sz w:val="21"/>
          <w:szCs w:val="21"/>
        </w:rPr>
        <w:t xml:space="preserve">14.2	No variation of this Agreement is effective unless agreed in writing between the Parties, save for changes to the Membership Fee under Clause 5.2 and updates to the Fair Use Policy or Standard Rate, which APG may update from time to time on reasonable written notice.</w:t>
      </w:r>
    </w:p>
    <w:p>
      <w:pPr>
        <w:tabs>
          <w:tab w:val="left" w:pos="576"/>
        </w:tabs>
        <w:spacing w:after="120" w:line="276"/>
        <w:ind w:left="576" w:hanging="576"/>
      </w:pPr>
      <w:r>
        <w:rPr>
          <w:sz w:val="21"/>
          <w:szCs w:val="21"/>
        </w:rPr>
        <w:t xml:space="preserve">14.3	Any notice given under this Agreement must be in writing and delivered by hand, post, or email to the other Party's contact details recorded in this Agreement (or as updated by written notice). A notice is treated as received: if delivered by hand, at the time of delivery; if sent by pre-paid post, two Business Days after posting; and if sent by email, when sent, provided no delivery failure message is received.</w:t>
      </w:r>
    </w:p>
    <w:p>
      <w:pPr>
        <w:tabs>
          <w:tab w:val="left" w:pos="576"/>
        </w:tabs>
        <w:spacing w:after="120" w:line="276"/>
        <w:ind w:left="576" w:hanging="576"/>
      </w:pPr>
      <w:r>
        <w:rPr>
          <w:sz w:val="21"/>
          <w:szCs w:val="21"/>
        </w:rPr>
        <w:t xml:space="preserve">14.4	Neither Party is liable for any failure or delay in performing its obligations under this Agreement to the extent caused by circumstances beyond that Party's reasonable control, provided the affected Party takes reasonable steps to mitigate the impact and resumes performance as soon as reasonably possible.</w:t>
      </w:r>
    </w:p>
    <w:p>
      <w:pPr>
        <w:tabs>
          <w:tab w:val="left" w:pos="576"/>
        </w:tabs>
        <w:spacing w:after="120" w:line="276"/>
        <w:ind w:left="576" w:hanging="576"/>
      </w:pPr>
      <w:r>
        <w:rPr>
          <w:sz w:val="21"/>
          <w:szCs w:val="21"/>
        </w:rPr>
        <w:t xml:space="preserve">14.5	Neither Party may assign this Agreement without the other's prior written consent, save that APG may assign this Agreement to a successor of its business.</w:t>
      </w:r>
    </w:p>
    <w:p>
      <w:pPr>
        <w:tabs>
          <w:tab w:val="left" w:pos="576"/>
        </w:tabs>
        <w:spacing w:after="120" w:line="276"/>
        <w:ind w:left="576" w:hanging="576"/>
      </w:pPr>
      <w:r>
        <w:rPr>
          <w:sz w:val="21"/>
          <w:szCs w:val="21"/>
        </w:rPr>
        <w:t xml:space="preserve">14.6	If any provision of this Agreement is found to be invalid or unenforceable, the remaining provisions will continue in full force and effect.</w:t>
      </w:r>
    </w:p>
    <w:p>
      <w:pPr>
        <w:tabs>
          <w:tab w:val="left" w:pos="576"/>
        </w:tabs>
        <w:spacing w:after="120" w:line="276"/>
        <w:ind w:left="576" w:hanging="576"/>
      </w:pPr>
      <w:r>
        <w:rPr>
          <w:sz w:val="21"/>
          <w:szCs w:val="21"/>
        </w:rPr>
        <w:t xml:space="preserve">14.7	A person who is not a party to this Agreement has no right to enforce any of its terms.</w:t>
      </w:r>
    </w:p>
    <w:p>
      <w:pPr>
        <w:tabs>
          <w:tab w:val="left" w:pos="576"/>
        </w:tabs>
        <w:spacing w:after="120" w:line="276"/>
        <w:ind w:left="576" w:hanging="576"/>
      </w:pPr>
      <w:r>
        <w:rPr>
          <w:sz w:val="21"/>
          <w:szCs w:val="21"/>
        </w:rPr>
        <w:t xml:space="preserve">14.8	This Agreement, and any dispute arising out of or in connection with it, is governed by the law of England and Wales, and the Parties submit to the exclusive jurisdiction of the courts of England and Wales.</w:t>
      </w:r>
    </w:p>
    <w:p>
      <w:pPr>
        <w:pageBreakBefore/>
      </w:pPr>
      <w:r>
        <w:br/>
        <w:t xml:space="preserve"/>
      </w:r>
    </w:p>
    <w:p>
      <w:pPr>
        <w:pStyle w:val="Heading1"/>
        <w:pBdr>
          <w:bottom w:val="single" w:color="9C7A3C" w:sz="6" w:space="4"/>
        </w:pBdr>
        <w:spacing w:after="140" w:before="320"/>
      </w:pPr>
      <w:r>
        <w:rPr>
          <w:b/>
          <w:bCs/>
          <w:color w:val="13233F"/>
          <w:sz w:val="24"/>
          <w:szCs w:val="24"/>
        </w:rPr>
        <w:t xml:space="preserve">Schedule 1 — Vehicle(s) Enrolled</w:t>
      </w:r>
    </w:p>
    <w:p>
      <w:pPr>
        <w:spacing w:after="140" w:line="276"/>
      </w:pPr>
      <w:r>
        <w:rPr>
          <w:sz w:val="21"/>
          <w:szCs w:val="21"/>
        </w:rPr>
        <w:t xml:space="preserve">The following Vehicle(s) are enrolled in the Membership as at the Commencement Date: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00"/>
        <w:gridCol w:w="2200"/>
        <w:gridCol w:w="3000"/>
        <w:gridCol w:w="1800"/>
      </w:tblGrid>
      <w:tr>
        <w:tc>
          <w:tcPr>
            <w:shd w:fill="13233F" w:val="clear"/>
            <w:tcMar>
              <w:top w:type="dxa" w:w="100"/>
              <w:left w:type="dxa" w:w="120"/>
              <w:bottom w:type="dxa" w:w="100"/>
              <w:right w:type="dxa" w:w="120"/>
            </w:tcMar>
          </w:tcPr>
          <w:p>
            <w:r>
              <w:rPr>
                <w:b/>
                <w:bCs/>
                <w:color w:val="FFFFFF"/>
                <w:sz w:val="19"/>
                <w:szCs w:val="19"/>
              </w:rPr>
              <w:t xml:space="preserve">Make &amp; Model</w:t>
            </w:r>
          </w:p>
        </w:tc>
        <w:tc>
          <w:tcPr>
            <w:shd w:fill="13233F" w:val="clear"/>
            <w:tcMar>
              <w:top w:type="dxa" w:w="100"/>
              <w:left w:type="dxa" w:w="120"/>
              <w:bottom w:type="dxa" w:w="100"/>
              <w:right w:type="dxa" w:w="120"/>
            </w:tcMar>
          </w:tcPr>
          <w:p>
            <w:r>
              <w:rPr>
                <w:b/>
                <w:bCs/>
                <w:color w:val="FFFFFF"/>
                <w:sz w:val="19"/>
                <w:szCs w:val="19"/>
              </w:rPr>
              <w:t xml:space="preserve">Registration No.</w:t>
            </w:r>
          </w:p>
        </w:tc>
        <w:tc>
          <w:tcPr>
            <w:shd w:fill="13233F" w:val="clear"/>
            <w:tcMar>
              <w:top w:type="dxa" w:w="100"/>
              <w:left w:type="dxa" w:w="120"/>
              <w:bottom w:type="dxa" w:w="100"/>
              <w:right w:type="dxa" w:w="120"/>
            </w:tcMar>
          </w:tcPr>
          <w:p>
            <w:r>
              <w:rPr>
                <w:b/>
                <w:bCs/>
                <w:color w:val="FFFFFF"/>
                <w:sz w:val="19"/>
                <w:szCs w:val="19"/>
              </w:rPr>
              <w:t xml:space="preserve">VIN</w:t>
            </w:r>
          </w:p>
        </w:tc>
        <w:tc>
          <w:tcPr>
            <w:shd w:fill="13233F" w:val="clear"/>
            <w:tcMar>
              <w:top w:type="dxa" w:w="100"/>
              <w:left w:type="dxa" w:w="120"/>
              <w:bottom w:type="dxa" w:w="100"/>
              <w:right w:type="dxa" w:w="120"/>
            </w:tcMar>
          </w:tcPr>
          <w:p>
            <w:r>
              <w:rPr>
                <w:b/>
                <w:bCs/>
                <w:color w:val="FFFFFF"/>
                <w:sz w:val="19"/>
                <w:szCs w:val="19"/>
              </w:rPr>
              <w:t xml:space="preserve">Colour</w:t>
            </w:r>
          </w:p>
        </w:tc>
      </w:tr>
      <w:tr>
        <w:tc>
          <w:tcPr>
            <w:tcMar>
              <w:top w:type="dxa" w:w="100"/>
              <w:left w:type="dxa" w:w="120"/>
              <w:bottom w:type="dxa" w:w="100"/>
              <w:right w:type="dxa" w:w="120"/>
            </w:tcMar>
          </w:tcPr>
          <w:p>
            <w:r>
              <w:rPr>
                <w:sz w:val="19"/>
                <w:szCs w:val="19"/>
              </w:rPr>
              <w:t xml:space="preserve"> </w:t>
            </w:r>
          </w:p>
        </w:tc>
        <w:tc>
          <w:tcPr>
            <w:tcMar>
              <w:top w:type="dxa" w:w="100"/>
              <w:left w:type="dxa" w:w="120"/>
              <w:bottom w:type="dxa" w:w="100"/>
              <w:right w:type="dxa" w:w="120"/>
            </w:tcMar>
          </w:tcPr>
          <w:p>
            <w:r>
              <w:rPr>
                <w:sz w:val="19"/>
                <w:szCs w:val="19"/>
              </w:rPr>
              <w:t xml:space="preserve"> </w:t>
            </w:r>
          </w:p>
        </w:tc>
        <w:tc>
          <w:tcPr>
            <w:tcMar>
              <w:top w:type="dxa" w:w="100"/>
              <w:left w:type="dxa" w:w="120"/>
              <w:bottom w:type="dxa" w:w="100"/>
              <w:right w:type="dxa" w:w="120"/>
            </w:tcMar>
          </w:tcPr>
          <w:p>
            <w:r>
              <w:rPr>
                <w:sz w:val="19"/>
                <w:szCs w:val="19"/>
              </w:rPr>
              <w:t xml:space="preserve"> </w:t>
            </w:r>
          </w:p>
        </w:tc>
        <w:tc>
          <w:tcPr>
            <w:tcMar>
              <w:top w:type="dxa" w:w="100"/>
              <w:left w:type="dxa" w:w="120"/>
              <w:bottom w:type="dxa" w:w="100"/>
              <w:right w:type="dxa" w:w="120"/>
            </w:tcMar>
          </w:tcPr>
          <w:p>
            <w:r>
              <w:rPr>
                <w:sz w:val="19"/>
                <w:szCs w:val="19"/>
              </w:rPr>
              <w:t xml:space="preserve"> </w:t>
            </w:r>
          </w:p>
        </w:tc>
      </w:tr>
      <w:tr>
        <w:tc>
          <w:tcPr>
            <w:tcMar>
              <w:top w:type="dxa" w:w="100"/>
              <w:left w:type="dxa" w:w="120"/>
              <w:bottom w:type="dxa" w:w="100"/>
              <w:right w:type="dxa" w:w="120"/>
            </w:tcMar>
          </w:tcPr>
          <w:p>
            <w:r>
              <w:rPr>
                <w:sz w:val="19"/>
                <w:szCs w:val="19"/>
              </w:rPr>
              <w:t xml:space="preserve"> </w:t>
            </w:r>
          </w:p>
        </w:tc>
        <w:tc>
          <w:tcPr>
            <w:tcMar>
              <w:top w:type="dxa" w:w="100"/>
              <w:left w:type="dxa" w:w="120"/>
              <w:bottom w:type="dxa" w:w="100"/>
              <w:right w:type="dxa" w:w="120"/>
            </w:tcMar>
          </w:tcPr>
          <w:p>
            <w:r>
              <w:rPr>
                <w:sz w:val="19"/>
                <w:szCs w:val="19"/>
              </w:rPr>
              <w:t xml:space="preserve"> </w:t>
            </w:r>
          </w:p>
        </w:tc>
        <w:tc>
          <w:tcPr>
            <w:tcMar>
              <w:top w:type="dxa" w:w="100"/>
              <w:left w:type="dxa" w:w="120"/>
              <w:bottom w:type="dxa" w:w="100"/>
              <w:right w:type="dxa" w:w="120"/>
            </w:tcMar>
          </w:tcPr>
          <w:p>
            <w:r>
              <w:rPr>
                <w:sz w:val="19"/>
                <w:szCs w:val="19"/>
              </w:rPr>
              <w:t xml:space="preserve"> </w:t>
            </w:r>
          </w:p>
        </w:tc>
        <w:tc>
          <w:tcPr>
            <w:tcMar>
              <w:top w:type="dxa" w:w="100"/>
              <w:left w:type="dxa" w:w="120"/>
              <w:bottom w:type="dxa" w:w="100"/>
              <w:right w:type="dxa" w:w="120"/>
            </w:tcMar>
          </w:tcPr>
          <w:p>
            <w:r>
              <w:rPr>
                <w:sz w:val="19"/>
                <w:szCs w:val="19"/>
              </w:rPr>
              <w:t xml:space="preserve"> </w:t>
            </w:r>
          </w:p>
        </w:tc>
      </w:tr>
      <w:tr>
        <w:tc>
          <w:tcPr>
            <w:tcMar>
              <w:top w:type="dxa" w:w="100"/>
              <w:left w:type="dxa" w:w="120"/>
              <w:bottom w:type="dxa" w:w="100"/>
              <w:right w:type="dxa" w:w="120"/>
            </w:tcMar>
          </w:tcPr>
          <w:p>
            <w:r>
              <w:rPr>
                <w:sz w:val="19"/>
                <w:szCs w:val="19"/>
              </w:rPr>
              <w:t xml:space="preserve"> </w:t>
            </w:r>
          </w:p>
        </w:tc>
        <w:tc>
          <w:tcPr>
            <w:tcMar>
              <w:top w:type="dxa" w:w="100"/>
              <w:left w:type="dxa" w:w="120"/>
              <w:bottom w:type="dxa" w:w="100"/>
              <w:right w:type="dxa" w:w="120"/>
            </w:tcMar>
          </w:tcPr>
          <w:p>
            <w:r>
              <w:rPr>
                <w:sz w:val="19"/>
                <w:szCs w:val="19"/>
              </w:rPr>
              <w:t xml:space="preserve"> </w:t>
            </w:r>
          </w:p>
        </w:tc>
        <w:tc>
          <w:tcPr>
            <w:tcMar>
              <w:top w:type="dxa" w:w="100"/>
              <w:left w:type="dxa" w:w="120"/>
              <w:bottom w:type="dxa" w:w="100"/>
              <w:right w:type="dxa" w:w="120"/>
            </w:tcMar>
          </w:tcPr>
          <w:p>
            <w:r>
              <w:rPr>
                <w:sz w:val="19"/>
                <w:szCs w:val="19"/>
              </w:rPr>
              <w:t xml:space="preserve"> </w:t>
            </w:r>
          </w:p>
        </w:tc>
        <w:tc>
          <w:tcPr>
            <w:tcMar>
              <w:top w:type="dxa" w:w="100"/>
              <w:left w:type="dxa" w:w="120"/>
              <w:bottom w:type="dxa" w:w="100"/>
              <w:right w:type="dxa" w:w="120"/>
            </w:tcMar>
          </w:tcPr>
          <w:p>
            <w:r>
              <w:rPr>
                <w:sz w:val="19"/>
                <w:szCs w:val="19"/>
              </w:rPr>
              <w:t xml:space="preserve"> </w:t>
            </w:r>
          </w:p>
        </w:tc>
      </w:tr>
    </w:tbl>
    <w:p>
      <w:pPr>
        <w:spacing w:after="140" w:line="276"/>
      </w:pPr>
      <w:r>
        <w:rPr>
          <w:sz w:val="21"/>
          <w:szCs w:val="21"/>
        </w:rPr>
        <w:t xml:space="preserve"> </w:t>
      </w:r>
    </w:p>
    <w:p>
      <w:pPr>
        <w:pStyle w:val="Heading1"/>
        <w:pBdr>
          <w:bottom w:val="single" w:color="9C7A3C" w:sz="6" w:space="4"/>
        </w:pBdr>
        <w:spacing w:after="140" w:before="320"/>
      </w:pPr>
      <w:r>
        <w:rPr>
          <w:b/>
          <w:bCs/>
          <w:color w:val="13233F"/>
          <w:sz w:val="24"/>
          <w:szCs w:val="24"/>
        </w:rPr>
        <w:t xml:space="preserve">Schedule 2 — Membership Details</w:t>
      </w:r>
    </w:p>
    <w:p>
      <w:pPr>
        <w:spacing w:after="140" w:line="276"/>
      </w:pPr>
      <w:r>
        <w:rPr>
          <w:b/>
          <w:bCs/>
          <w:sz w:val="21"/>
          <w:szCs w:val="21"/>
        </w:rPr>
        <w:t xml:space="preserve">Member name: </w:t>
      </w:r>
      <w:r>
        <w:rPr>
          <w:sz w:val="21"/>
          <w:szCs w:val="21"/>
        </w:rPr>
        <w:t xml:space="preserve">_______________________________</w:t>
      </w:r>
    </w:p>
    <w:p>
      <w:pPr>
        <w:spacing w:after="140" w:line="276"/>
      </w:pPr>
      <w:r>
        <w:rPr>
          <w:b/>
          <w:bCs/>
          <w:sz w:val="21"/>
          <w:szCs w:val="21"/>
        </w:rPr>
        <w:t xml:space="preserve">Member address: </w:t>
      </w:r>
      <w:r>
        <w:rPr>
          <w:sz w:val="21"/>
          <w:szCs w:val="21"/>
        </w:rPr>
        <w:t xml:space="preserve">_______________________________</w:t>
      </w:r>
    </w:p>
    <w:p>
      <w:pPr>
        <w:spacing w:after="140" w:line="276"/>
      </w:pPr>
      <w:r>
        <w:rPr>
          <w:b/>
          <w:bCs/>
          <w:sz w:val="21"/>
          <w:szCs w:val="21"/>
        </w:rPr>
        <w:t xml:space="preserve">Contact email / phone: </w:t>
      </w:r>
      <w:r>
        <w:rPr>
          <w:sz w:val="21"/>
          <w:szCs w:val="21"/>
        </w:rPr>
        <w:t xml:space="preserve">_______________________________</w:t>
      </w:r>
    </w:p>
    <w:p>
      <w:pPr>
        <w:spacing w:after="140" w:line="276"/>
      </w:pPr>
      <w:r>
        <w:rPr>
          <w:b/>
          <w:bCs/>
          <w:sz w:val="21"/>
          <w:szCs w:val="21"/>
        </w:rPr>
        <w:t xml:space="preserve">Commencement Date: </w:t>
      </w:r>
      <w:r>
        <w:rPr>
          <w:sz w:val="21"/>
          <w:szCs w:val="21"/>
        </w:rPr>
        <w:t xml:space="preserve">_______________________________</w:t>
      </w:r>
    </w:p>
    <w:p>
      <w:pPr>
        <w:spacing w:after="140" w:line="276"/>
      </w:pPr>
      <w:r>
        <w:rPr>
          <w:sz w:val="21"/>
          <w:szCs w:val="21"/>
        </w:rP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5000"/>
        <w:gridCol w:w="5000"/>
      </w:tblGrid>
      <w:tr>
        <w:tc>
          <w:tcPr>
            <w:tcW w:type="pct" w:w="50%"/>
            <w:shd w:fill="13233F" w:val="clear"/>
            <w:tcMar>
              <w:top w:type="dxa" w:w="100"/>
              <w:left w:type="dxa" w:w="120"/>
              <w:bottom w:type="dxa" w:w="100"/>
              <w:right w:type="dxa" w:w="120"/>
            </w:tcMar>
          </w:tcPr>
          <w:p>
            <w:r>
              <w:rPr>
                <w:b/>
                <w:bCs/>
                <w:color w:val="FFFFFF"/>
                <w:sz w:val="20"/>
                <w:szCs w:val="20"/>
              </w:rPr>
              <w:t xml:space="preserve">Membership Tier</w:t>
            </w:r>
          </w:p>
        </w:tc>
        <w:tc>
          <w:tcPr>
            <w:tcW w:type="pct" w:w="50%"/>
            <w:shd w:fill="13233F" w:val="clear"/>
            <w:tcMar>
              <w:top w:type="dxa" w:w="100"/>
              <w:left w:type="dxa" w:w="120"/>
              <w:bottom w:type="dxa" w:w="100"/>
              <w:right w:type="dxa" w:w="120"/>
            </w:tcMar>
          </w:tcPr>
          <w:p>
            <w:r>
              <w:rPr>
                <w:b/>
                <w:bCs/>
                <w:color w:val="FFFFFF"/>
                <w:sz w:val="20"/>
                <w:szCs w:val="20"/>
              </w:rPr>
              <w:t xml:space="preserve">Monthly Fee (per vehicle)</w:t>
            </w:r>
          </w:p>
        </w:tc>
      </w:tr>
      <w:tr>
        <w:tc>
          <w:tcPr>
            <w:tcW w:type="pct" w:w="50%"/>
            <w:tcMar>
              <w:top w:type="dxa" w:w="100"/>
              <w:left w:type="dxa" w:w="120"/>
              <w:bottom w:type="dxa" w:w="100"/>
              <w:right w:type="dxa" w:w="120"/>
            </w:tcMar>
          </w:tcPr>
          <w:p>
            <w:r>
              <w:rPr>
                <w:sz w:val="20"/>
                <w:szCs w:val="20"/>
              </w:rPr>
              <w:t xml:space="preserve">Priority</w:t>
            </w:r>
          </w:p>
        </w:tc>
        <w:tc>
          <w:tcPr>
            <w:tcW w:type="pct" w:w="50%"/>
            <w:tcMar>
              <w:top w:type="dxa" w:w="100"/>
              <w:left w:type="dxa" w:w="120"/>
              <w:bottom w:type="dxa" w:w="100"/>
              <w:right w:type="dxa" w:w="120"/>
            </w:tcMar>
          </w:tcPr>
          <w:p>
            <w:r>
              <w:rPr>
                <w:sz w:val="20"/>
                <w:szCs w:val="20"/>
              </w:rPr>
              <w:t xml:space="preserve">£129.99 per vehicle, per month (Founding Member rate)</w:t>
            </w:r>
          </w:p>
        </w:tc>
      </w:tr>
      <w:tr>
        <w:tc>
          <w:tcPr>
            <w:tcW w:type="pct" w:w="50%"/>
            <w:tcMar>
              <w:top w:type="dxa" w:w="100"/>
              <w:left w:type="dxa" w:w="120"/>
              <w:bottom w:type="dxa" w:w="100"/>
              <w:right w:type="dxa" w:w="120"/>
            </w:tcMar>
          </w:tcPr>
          <w:p>
            <w:r>
              <w:rPr>
                <w:sz w:val="20"/>
                <w:szCs w:val="20"/>
              </w:rPr>
              <w:t xml:space="preserve">VAT</w:t>
            </w:r>
          </w:p>
        </w:tc>
        <w:tc>
          <w:tcPr>
            <w:tcW w:type="pct" w:w="50%"/>
            <w:tcMar>
              <w:top w:type="dxa" w:w="100"/>
              <w:left w:type="dxa" w:w="120"/>
              <w:bottom w:type="dxa" w:w="100"/>
              <w:right w:type="dxa" w:w="120"/>
            </w:tcMar>
          </w:tcPr>
          <w:p>
            <w:r>
              <w:rPr>
                <w:sz w:val="20"/>
                <w:szCs w:val="20"/>
              </w:rPr>
              <w:t xml:space="preserve">Not currently applicable (APG is not VAT-registered)</w:t>
            </w:r>
          </w:p>
        </w:tc>
      </w:tr>
      <w:tr>
        <w:tc>
          <w:tcPr>
            <w:tcW w:type="pct" w:w="50%"/>
            <w:tcMar>
              <w:top w:type="dxa" w:w="100"/>
              <w:left w:type="dxa" w:w="120"/>
              <w:bottom w:type="dxa" w:w="100"/>
              <w:right w:type="dxa" w:w="120"/>
            </w:tcMar>
          </w:tcPr>
          <w:p>
            <w:r>
              <w:rPr>
                <w:sz w:val="20"/>
                <w:szCs w:val="20"/>
              </w:rPr>
              <w:t xml:space="preserve">Billing frequency</w:t>
            </w:r>
          </w:p>
        </w:tc>
        <w:tc>
          <w:tcPr>
            <w:tcW w:type="pct" w:w="50%"/>
            <w:tcMar>
              <w:top w:type="dxa" w:w="100"/>
              <w:left w:type="dxa" w:w="120"/>
              <w:bottom w:type="dxa" w:w="100"/>
              <w:right w:type="dxa" w:w="120"/>
            </w:tcMar>
          </w:tcPr>
          <w:p>
            <w:r>
              <w:rPr>
                <w:sz w:val="20"/>
                <w:szCs w:val="20"/>
              </w:rPr>
              <w:t xml:space="preserve">Monthly in advance, collected by Direct Debit via Stripe or Revolut (or such other payment processor as APG may notify to the Member)</w:t>
            </w:r>
          </w:p>
        </w:tc>
      </w:tr>
      <w:tr>
        <w:tc>
          <w:tcPr>
            <w:tcW w:type="pct" w:w="50%"/>
            <w:tcMar>
              <w:top w:type="dxa" w:w="100"/>
              <w:left w:type="dxa" w:w="120"/>
              <w:bottom w:type="dxa" w:w="100"/>
              <w:right w:type="dxa" w:w="120"/>
            </w:tcMar>
          </w:tcPr>
          <w:p>
            <w:r>
              <w:rPr>
                <w:sz w:val="20"/>
                <w:szCs w:val="20"/>
              </w:rPr>
              <w:t xml:space="preserve">Multi-vehicle discount</w:t>
            </w:r>
          </w:p>
        </w:tc>
        <w:tc>
          <w:tcPr>
            <w:tcW w:type="pct" w:w="50%"/>
            <w:tcMar>
              <w:top w:type="dxa" w:w="100"/>
              <w:left w:type="dxa" w:w="120"/>
              <w:bottom w:type="dxa" w:w="100"/>
              <w:right w:type="dxa" w:w="120"/>
            </w:tcMar>
          </w:tcPr>
          <w:p>
            <w:r>
              <w:rPr>
                <w:sz w:val="20"/>
                <w:szCs w:val="20"/>
              </w:rPr>
              <w:t xml:space="preserve">First Vehicle at full price; 20% discount on the Membership Fee for each additional Vehicle</w:t>
            </w:r>
          </w:p>
        </w:tc>
      </w:tr>
    </w:tbl>
    <w:p>
      <w:pPr>
        <w:pageBreakBefore/>
      </w:pPr>
      <w:r>
        <w:br/>
        <w:t xml:space="preserve"/>
      </w:r>
    </w:p>
    <w:p>
      <w:pPr>
        <w:pStyle w:val="Heading1"/>
        <w:pBdr>
          <w:bottom w:val="single" w:color="9C7A3C" w:sz="6" w:space="4"/>
        </w:pBdr>
        <w:spacing w:after="140" w:before="320"/>
      </w:pPr>
      <w:r>
        <w:rPr>
          <w:b/>
          <w:bCs/>
          <w:color w:val="13233F"/>
          <w:sz w:val="24"/>
          <w:szCs w:val="24"/>
        </w:rPr>
        <w:t xml:space="preserve">Signatures</w:t>
      </w:r>
    </w:p>
    <w:p>
      <w:pPr>
        <w:spacing w:after="140" w:line="276"/>
      </w:pPr>
      <w:r>
        <w:rPr>
          <w:sz w:val="21"/>
          <w:szCs w:val="21"/>
        </w:rPr>
        <w:t xml:space="preserve">By signing below, the Parties agree to be bound by the terms of this Agreement and its Schedules.</w:t>
      </w:r>
    </w:p>
    <w:p>
      <w:pPr>
        <w:spacing w:after="140" w:line="276"/>
      </w:pPr>
      <w:r>
        <w:rPr>
          <w:sz w:val="21"/>
          <w:szCs w:val="21"/>
        </w:rPr>
        <w:t xml:space="preserve"> </w:t>
      </w:r>
    </w:p>
    <w:p>
      <w:pPr>
        <w:spacing w:after="140" w:line="276"/>
      </w:pPr>
      <w:r>
        <w:rPr>
          <w:sz w:val="21"/>
          <w:szCs w:val="21"/>
        </w:rPr>
        <w:t xml:space="preserve">For and on behalf of Autumn Prestige Group Limited</w:t>
      </w:r>
    </w:p>
    <w:p>
      <w:pPr>
        <w:spacing w:after="140" w:line="276"/>
      </w:pPr>
      <w:r>
        <w:rPr>
          <w:sz w:val="21"/>
          <w:szCs w:val="21"/>
        </w:rPr>
        <w:t xml:space="preserve">Signed: _______________________________</w:t>
      </w:r>
    </w:p>
    <w:p>
      <w:pPr>
        <w:spacing w:after="140" w:line="276"/>
      </w:pPr>
      <w:r>
        <w:rPr>
          <w:sz w:val="21"/>
          <w:szCs w:val="21"/>
        </w:rPr>
        <w:t xml:space="preserve">Name: _______________________________</w:t>
      </w:r>
    </w:p>
    <w:p>
      <w:pPr>
        <w:spacing w:after="140" w:line="276"/>
      </w:pPr>
      <w:r>
        <w:rPr>
          <w:sz w:val="21"/>
          <w:szCs w:val="21"/>
        </w:rPr>
        <w:t xml:space="preserve">Position (if applicable): _______________________________</w:t>
      </w:r>
    </w:p>
    <w:p>
      <w:pPr>
        <w:spacing w:after="140" w:line="276"/>
      </w:pPr>
      <w:r>
        <w:rPr>
          <w:sz w:val="21"/>
          <w:szCs w:val="21"/>
        </w:rPr>
        <w:t xml:space="preserve">Date: _______________________________</w:t>
      </w:r>
    </w:p>
    <w:p>
      <w:pPr>
        <w:spacing w:after="140" w:line="276"/>
      </w:pPr>
      <w:r>
        <w:rPr>
          <w:sz w:val="21"/>
          <w:szCs w:val="21"/>
        </w:rPr>
        <w:t xml:space="preserve"> </w:t>
      </w:r>
    </w:p>
    <w:p>
      <w:pPr>
        <w:spacing w:after="140" w:line="276"/>
      </w:pPr>
      <w:r>
        <w:rPr>
          <w:sz w:val="21"/>
          <w:szCs w:val="21"/>
        </w:rPr>
        <w:t xml:space="preserve">The Member</w:t>
      </w:r>
    </w:p>
    <w:p>
      <w:pPr>
        <w:spacing w:after="140" w:line="276"/>
      </w:pPr>
      <w:r>
        <w:rPr>
          <w:sz w:val="21"/>
          <w:szCs w:val="21"/>
        </w:rPr>
        <w:t xml:space="preserve">Signed: _______________________________</w:t>
      </w:r>
    </w:p>
    <w:p>
      <w:pPr>
        <w:spacing w:after="140" w:line="276"/>
      </w:pPr>
      <w:r>
        <w:rPr>
          <w:sz w:val="21"/>
          <w:szCs w:val="21"/>
        </w:rPr>
        <w:t xml:space="preserve">Name: _______________________________</w:t>
      </w:r>
    </w:p>
    <w:p>
      <w:pPr>
        <w:spacing w:after="140" w:line="276"/>
      </w:pPr>
      <w:r>
        <w:rPr>
          <w:sz w:val="21"/>
          <w:szCs w:val="21"/>
        </w:rPr>
        <w:t xml:space="preserve">Position (if applicable): _______________________________</w:t>
      </w:r>
    </w:p>
    <w:p>
      <w:pPr>
        <w:spacing w:after="140" w:line="276"/>
      </w:pPr>
      <w:r>
        <w:rPr>
          <w:sz w:val="21"/>
          <w:szCs w:val="21"/>
        </w:rPr>
        <w:t xml:space="preserve">Date: _______________________________</w:t>
      </w:r>
    </w:p>
    <w:sectPr>
      <w:headerReference w:type="default" r:id="rId7"/>
      <w:footerReference w:type="default" r:id="rId8"/>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A5A5A"/>
        <w:sz w:val="15"/>
        <w:szCs w:val="15"/>
      </w:rPr>
      <w:t xml:space="preserve">Page </w:t>
    </w:r>
    <w:r>
      <w:rPr>
        <w:color w:val="5A5A5A"/>
        <w:sz w:val="15"/>
        <w:szCs w:val="15"/>
      </w:rPr>
      <w:fldChar w:fldCharType="begin"/>
      <w:instrText xml:space="preserve">PAGE</w:instrText>
      <w:fldChar w:fldCharType="separate"/>
      <w:fldChar w:fldCharType="end"/>
    </w:r>
    <w:r>
      <w:rPr>
        <w:color w:val="5A5A5A"/>
        <w:sz w:val="15"/>
        <w:szCs w:val="15"/>
      </w:rPr>
      <w:t xml:space="preserve"> of </w:t>
    </w:r>
    <w:r>
      <w:rPr>
        <w:color w:val="5A5A5A"/>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5A5A5A"/>
        <w:sz w:val="15"/>
        <w:szCs w:val="15"/>
      </w:rPr>
      <w:t xml:space="preserve">Autumn Prestige Group Limited — Priority Tier Membership 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Exceptional Car Care Membership Agreement - Priority</dc:title>
  <dc:creator>Autumn Prestige Group Limited</dc:creator>
  <cp:lastModifiedBy>Un-named</cp:lastModifiedBy>
  <cp:revision>1</cp:revision>
  <dcterms:created xsi:type="dcterms:W3CDTF">2026-09-16T22:01:58.837Z</dcterms:created>
  <dcterms:modified xsi:type="dcterms:W3CDTF">2026-09-16T22:01:58.837Z</dcterms:modified>
</cp:coreProperties>
</file>

<file path=docProps/custom.xml><?xml version="1.0" encoding="utf-8"?>
<Properties xmlns="http://schemas.openxmlformats.org/officeDocument/2006/custom-properties" xmlns:vt="http://schemas.openxmlformats.org/officeDocument/2006/docPropsVTypes"/>
</file>